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  <w:lang w:eastAsia="fr-F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2530800" cy="957600"/>
                <wp:effectExtent l="0" t="0" r="0" b="0"/>
                <wp:wrapTight wrapText="bothSides">
                  <wp:wrapPolygon edited="1">
                    <wp:start x="0" y="0"/>
                    <wp:lineTo x="0" y="21199"/>
                    <wp:lineTo x="21464" y="21199"/>
                    <wp:lineTo x="21464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eC_CMJN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30800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so-position-horizontal:center;mso-position-vertical-relative:text;margin-top:0.20pt;mso-position-vertical:absolute;width:199.28pt;height:75.40pt;mso-wrap-distance-left:9.00pt;mso-wrap-distance-top:0.00pt;mso-wrap-distance-right:9.00pt;mso-wrap-distance-bottom:0.00pt;z-index:1;" wrapcoords="0 0 0 98144 99370 98144 99370 0 0 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27368d"/>
          <w:sz w:val="32"/>
          <w:szCs w:val="32"/>
        </w:rPr>
      </w:pP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Appel à candidat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ure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s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 - Contrat postdoctoral 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202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5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-202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6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</w:r>
    </w:p>
    <w:p>
      <w:pPr>
        <w:pBdr/>
        <w:spacing w:after="120"/>
        <w:ind/>
        <w:jc w:val="center"/>
        <w:rPr>
          <w:rFonts w:ascii="Circular Pro Book" w:hAnsi="Circular Pro Book" w:cs="Circular Pro Book"/>
          <w:bCs/>
          <w:color w:val="27368d"/>
          <w:sz w:val="32"/>
          <w:szCs w:val="32"/>
        </w:rPr>
      </w:pPr>
      <w:r>
        <w:rPr>
          <w:rFonts w:ascii="Circular Pro Book" w:hAnsi="Circular Pro Book" w:cs="Circular Pro Book"/>
          <w:bCs/>
          <w:color w:val="27368d"/>
          <w:sz w:val="32"/>
          <w:szCs w:val="32"/>
        </w:rPr>
        <w:t xml:space="preserve">Formulaire de candidature</w:t>
      </w:r>
      <w:r>
        <w:rPr>
          <w:rFonts w:ascii="Circular Pro Book" w:hAnsi="Circular Pro Book" w:cs="Circular Pro Book"/>
          <w:bCs/>
          <w:color w:val="27368d"/>
          <w:sz w:val="32"/>
          <w:szCs w:val="32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à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transmettre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au plus tard le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27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février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5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à 8 heures du matin.</w:t>
      </w:r>
      <w:r>
        <w:rPr>
          <w:rFonts w:asciiTheme="minorHAnsi" w:hAnsiTheme="minorHAnsi" w:cstheme="minorHAnsi"/>
          <w:b/>
          <w:bCs/>
          <w:sz w:val="20"/>
          <w:szCs w:val="20"/>
        </w:rPr>
      </w:r>
    </w:p>
    <w:p>
      <w:pPr>
        <w:pStyle w:val="693"/>
        <w:numPr>
          <w:ilvl w:val="0"/>
          <w:numId w:val="11"/>
        </w:numPr>
        <w:pBdr/>
        <w:spacing/>
        <w:ind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  <w:fldChar w:fldCharType="begin"/>
      </w: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  <w:instrText xml:space="preserve">HYPERLINK "https://kdrive.eur-artec.fr/app/collaborate/1045789/53fdfbc3-fb97-44be-bfca-a7c97ddfb41e"</w:instrText>
      </w: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  <w:fldChar w:fldCharType="separate"/>
      </w:r>
      <w:r>
        <w:rPr>
          <w:rStyle w:val="686"/>
          <w:rFonts w:eastAsia="TimesNewRomanPS-BoldMT" w:cs="TimesNewRomanPS-BoldMT" w:asciiTheme="minorHAnsi" w:hAnsiTheme="minorHAnsi"/>
          <w:b/>
          <w:sz w:val="20"/>
          <w:szCs w:val="20"/>
        </w:rPr>
        <w:t xml:space="preserve">Boîte de dépôt | Postdoctorat</w:t>
      </w: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  <w:fldChar w:fldCharType="end"/>
      </w: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Les candidat</w:t>
      </w:r>
      <w:r>
        <w:rPr>
          <w:rFonts w:eastAsia="TimesNewRomanPSMT" w:asciiTheme="minorHAnsi" w:hAnsiTheme="minorHAnsi" w:cstheme="minorHAnsi"/>
          <w:color w:val="000000"/>
        </w:rPr>
        <w:t xml:space="preserve">.es</w:t>
      </w:r>
      <w:r>
        <w:rPr>
          <w:rFonts w:eastAsia="TimesNewRomanPSMT" w:asciiTheme="minorHAnsi" w:hAnsiTheme="minorHAnsi" w:cstheme="minorHAnsi"/>
          <w:color w:val="000000"/>
        </w:rPr>
        <w:t xml:space="preserve"> à un contrat postdoctoral devront être rattaché</w:t>
      </w:r>
      <w:r>
        <w:rPr>
          <w:rFonts w:eastAsia="TimesNewRomanPSMT" w:asciiTheme="minorHAnsi" w:hAnsiTheme="minorHAnsi" w:cstheme="minorHAnsi"/>
          <w:color w:val="000000"/>
        </w:rPr>
        <w:t xml:space="preserve">.e</w:t>
      </w:r>
      <w:r>
        <w:rPr>
          <w:rFonts w:eastAsia="TimesNewRomanPSMT" w:asciiTheme="minorHAnsi" w:hAnsiTheme="minorHAnsi" w:cstheme="minorHAnsi"/>
          <w:color w:val="000000"/>
        </w:rPr>
        <w:t xml:space="preserve">s à l’un des laboratoires suivants, dont l’</w:t>
      </w:r>
      <w:r>
        <w:rPr>
          <w:rFonts w:eastAsia="TimesNewRomanPSMT" w:asciiTheme="minorHAnsi" w:hAnsiTheme="minorHAnsi" w:cstheme="minorHAnsi"/>
          <w:color w:val="000000"/>
        </w:rPr>
        <w:t xml:space="preserve">un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des membres titulair</w:t>
      </w:r>
      <w:r>
        <w:rPr>
          <w:rFonts w:eastAsia="TimesNewRomanPSMT" w:asciiTheme="minorHAnsi" w:hAnsiTheme="minorHAnsi" w:cstheme="minorHAnsi"/>
          <w:color w:val="000000"/>
        </w:rPr>
        <w:t xml:space="preserve">es</w:t>
      </w:r>
      <w:r>
        <w:rPr>
          <w:rFonts w:eastAsia="TimesNewRomanPSMT" w:asciiTheme="minorHAnsi" w:hAnsiTheme="minorHAnsi" w:cstheme="minorHAnsi"/>
          <w:color w:val="000000"/>
        </w:rPr>
        <w:t xml:space="preserve"> HDR</w:t>
      </w:r>
      <w:r>
        <w:rPr>
          <w:rFonts w:eastAsia="TimesNewRomanPSMT" w:asciiTheme="minorHAnsi" w:hAnsiTheme="minorHAnsi" w:cstheme="minorHAnsi"/>
          <w:color w:val="000000"/>
        </w:rPr>
        <w:t xml:space="preserve"> sera </w:t>
      </w:r>
      <w:r>
        <w:rPr>
          <w:rFonts w:eastAsia="TimesNewRomanPSMT" w:asciiTheme="minorHAnsi" w:hAnsiTheme="minorHAnsi" w:cstheme="minorHAnsi"/>
          <w:color w:val="000000"/>
        </w:rPr>
        <w:t xml:space="preserve">désigné</w:t>
      </w:r>
      <w:r>
        <w:rPr>
          <w:rFonts w:eastAsia="TimesNewRomanPSMT" w:asciiTheme="minorHAnsi" w:hAnsiTheme="minorHAnsi" w:cstheme="minorHAnsi"/>
          <w:color w:val="000000"/>
        </w:rPr>
        <w:t xml:space="preserve">·e</w:t>
      </w:r>
      <w:r>
        <w:rPr>
          <w:rFonts w:eastAsia="TimesNewRomanPSMT" w:asciiTheme="minorHAnsi" w:hAnsiTheme="minorHAnsi" w:cstheme="minorHAnsi"/>
          <w:color w:val="000000"/>
        </w:rPr>
        <w:t xml:space="preserve"> comme </w:t>
      </w: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rice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Garamond" w:asciiTheme="minorHAnsi" w:hAnsiTheme="minorHAnsi" w:cstheme="minorHAnsi"/>
          <w:color w:val="000000"/>
        </w:rPr>
      </w:pPr>
      <w:r>
        <w:rPr>
          <w:rFonts w:eastAsia="Garamond" w:asciiTheme="minorHAnsi" w:hAnsiTheme="minorHAnsi" w:cstheme="minorHAnsi"/>
          <w:color w:val="000000"/>
        </w:rPr>
      </w:r>
      <w:r>
        <w:rPr>
          <w:rFonts w:eastAsia="Garamond" w:asciiTheme="minorHAnsi" w:hAnsiTheme="minorHAnsi" w:cstheme="minorHAnsi"/>
          <w:color w:val="000000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4414 Histoire des arts et des représentations, HAR (Paris Nanterre)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 4010 Arts des images &amp; art contemporain, AIAC 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1572 Esthétique, musicologie et création musicale, </w:t>
      </w:r>
      <w:r>
        <w:rPr>
          <w:rFonts w:asciiTheme="minorHAnsi" w:hAnsiTheme="minorHAnsi" w:cstheme="minorHAnsi"/>
        </w:rPr>
        <w:t xml:space="preserve">mu</w:t>
      </w:r>
      <w:r>
        <w:rPr>
          <w:rFonts w:asciiTheme="minorHAnsi" w:hAnsiTheme="minorHAnsi" w:cstheme="minorHAnsi"/>
        </w:rPr>
        <w:t xml:space="preserve">sidanse</w:t>
      </w:r>
      <w:r>
        <w:rPr>
          <w:rFonts w:asciiTheme="minorHAnsi" w:hAnsiTheme="minorHAnsi" w:cstheme="minorHAnsi"/>
        </w:rPr>
        <w:t xml:space="preserve">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 1573 Scènes du monde, création, savoirs critiques 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4008 Laboratoire d'études et de recherche sur les logiques contemporaines de la philosophie, LLCP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349 </w:t>
      </w:r>
      <w:r>
        <w:rPr>
          <w:rFonts w:asciiTheme="minorHAnsi" w:hAnsiTheme="minorHAnsi" w:cstheme="minorHAnsi"/>
        </w:rPr>
        <w:t xml:space="preserve">Laboratoire </w:t>
      </w:r>
      <w:r>
        <w:rPr>
          <w:rFonts w:asciiTheme="minorHAnsi" w:hAnsiTheme="minorHAnsi" w:cstheme="minorHAnsi"/>
        </w:rPr>
        <w:t xml:space="preserve">Paragraphe 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4004 Cognition humaine et Artificielle, CHART-THIM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UMR 7023 Structures formelles du langage, SFL (</w:t>
      </w:r>
      <w:r>
        <w:rPr>
          <w:rFonts w:asciiTheme="minorHAnsi" w:hAnsiTheme="minorHAnsi" w:cstheme="minorHAnsi"/>
        </w:rPr>
        <w:t xml:space="preserve">CNRS</w:t>
      </w:r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UMR 7217 Centre de recherches sociologiques et politiques de Paris, CRESPPA (CNRS, Paris 8, 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UMR 8238 Laboratoire d’études de genre et de sexualité, LEGS (CNRS, Paris 8, 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4385 Laboratoire d’études romanes, LER 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1569 Transferts critiques et dynamique des savoirs, </w:t>
      </w:r>
      <w:r>
        <w:rPr>
          <w:rFonts w:asciiTheme="minorHAnsi" w:hAnsiTheme="minorHAnsi" w:cstheme="minorHAnsi"/>
        </w:rPr>
        <w:t xml:space="preserve">TransCrit</w:t>
      </w:r>
      <w:r>
        <w:rPr>
          <w:rFonts w:asciiTheme="minorHAnsi" w:hAnsiTheme="minorHAnsi" w:cstheme="minorHAnsi"/>
        </w:rPr>
        <w:t xml:space="preserve">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7322 Littérature et histoires, esthétique, LHE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4386 Laboratoire parisien de psychologie sociale, LAPPS (Paris 8, Paris Nanterre)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2302 Esthétique, sciences et technologies du cinéma et de l’audiovisuel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3388 Centre d'études sur les Médias, les Technologies et l'Internationalisation, CEMTI (Paris 8)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7339 Dispositifs d’information et de communication à l’ère numérique- Paris Ile de France, </w:t>
      </w:r>
      <w:r>
        <w:rPr>
          <w:rFonts w:asciiTheme="minorHAnsi" w:hAnsiTheme="minorHAnsi" w:cstheme="minorHAnsi"/>
        </w:rPr>
        <w:t xml:space="preserve">Dicen-Idf</w:t>
      </w:r>
      <w:r>
        <w:rPr>
          <w:rFonts w:asciiTheme="minorHAnsi" w:hAnsiTheme="minorHAnsi" w:cstheme="minorHAnsi"/>
        </w:rPr>
        <w:t xml:space="preserve"> (Paris</w:t>
      </w:r>
      <w:r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 xml:space="preserve">anterre, </w:t>
      </w:r>
      <w:r>
        <w:rPr>
          <w:rFonts w:asciiTheme="minorHAnsi" w:hAnsiTheme="minorHAnsi" w:cstheme="minorHAnsi"/>
        </w:rPr>
        <w:t xml:space="preserve">Cnam</w:t>
      </w:r>
      <w:r>
        <w:rPr>
          <w:rFonts w:asciiTheme="minorHAnsi" w:hAnsiTheme="minorHAnsi" w:cstheme="minorHAnsi"/>
        </w:rPr>
        <w:t xml:space="preserve">, UPEM)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 373 Institut de recherches philosophiques, </w:t>
      </w:r>
      <w:r>
        <w:rPr>
          <w:rFonts w:asciiTheme="minorHAnsi" w:hAnsiTheme="minorHAnsi" w:cstheme="minorHAnsi"/>
        </w:rPr>
        <w:t xml:space="preserve">IRePh</w:t>
      </w:r>
      <w:r>
        <w:rPr>
          <w:rFonts w:asciiTheme="minorHAnsi" w:hAnsiTheme="minorHAnsi" w:cstheme="minorHAnsi"/>
        </w:rPr>
        <w:t xml:space="preserve"> (Paris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EA 4416 Laboratoire Energétique Mécanique</w:t>
      </w:r>
      <w:r>
        <w:rPr>
          <w:rFonts w:asciiTheme="minorHAnsi" w:hAnsiTheme="minorHAnsi" w:cstheme="minorHAnsi"/>
        </w:rPr>
        <w:t xml:space="preserve"> Electromagnétisme, LEME (Paris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  <w:b/>
          <w:bCs/>
        </w:rPr>
      </w:r>
    </w:p>
    <w:p>
      <w:pPr>
        <w:pStyle w:val="692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EA 370 Centre de Recherches Anglophones (Paris Nanterre)</w:t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692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EA 369 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É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tudes Romanes (Paris Nanterre)</w:t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692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EA3931 Centre de Recherche en Littérature et Poétiques comparées</w:t>
      </w:r>
      <w:r>
        <w:rPr>
          <w:rFonts w:eastAsia="Arial Bold"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LIPO</w:t>
      </w:r>
      <w:r>
        <w:rPr>
          <w:rFonts w:asciiTheme="minorHAnsi" w:hAnsiTheme="minorHAnsi" w:cstheme="minorHAnsi"/>
          <w:sz w:val="24"/>
          <w:szCs w:val="24"/>
        </w:rPr>
        <w:t xml:space="preserve"> (Paris </w:t>
      </w:r>
      <w:r>
        <w:rPr>
          <w:rFonts w:asciiTheme="minorHAnsi" w:hAnsiTheme="minorHAnsi" w:cstheme="minorHAnsi"/>
          <w:sz w:val="24"/>
          <w:szCs w:val="24"/>
        </w:rPr>
        <w:t xml:space="preserve">Nanterre)</w:t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692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EA1586 Centre des Sciences des littératures e</w:t>
      </w:r>
      <w:r>
        <w:rPr>
          <w:rFonts w:asciiTheme="minorHAnsi" w:hAnsiTheme="minorHAnsi" w:cstheme="minorHAnsi"/>
          <w:sz w:val="24"/>
          <w:szCs w:val="24"/>
        </w:rPr>
        <w:t xml:space="preserve">n langue Française, CSLF (Paris </w:t>
      </w:r>
      <w:r>
        <w:rPr>
          <w:rFonts w:asciiTheme="minorHAnsi" w:hAnsiTheme="minorHAnsi" w:cstheme="minorHAnsi"/>
          <w:sz w:val="24"/>
          <w:szCs w:val="24"/>
        </w:rPr>
        <w:t xml:space="preserve">Nanterre)</w:t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pacing w:after="100" w:afterAutospacing="1" w:before="100" w:beforeAutospacing="1"/>
        <w:ind/>
        <w:rPr>
          <w:rFonts w:eastAsia="Times New Roman" w:asciiTheme="minorHAnsi" w:hAnsiTheme="minorHAnsi" w:cstheme="minorHAnsi"/>
          <w:lang w:eastAsia="fr-FR"/>
        </w:rPr>
      </w:pPr>
      <w:r>
        <w:rPr>
          <w:rFonts w:eastAsia="Times New Roman" w:asciiTheme="minorHAnsi" w:hAnsiTheme="minorHAnsi" w:cstheme="minorHAnsi"/>
          <w:lang w:eastAsia="fr-FR"/>
        </w:rPr>
        <w:t xml:space="preserve">Laboratoire d’Intelligence Artificielle et Sémantique des Données (LIASD)</w:t>
      </w:r>
      <w:r>
        <w:rPr>
          <w:rFonts w:eastAsia="Times New Roman" w:asciiTheme="minorHAnsi" w:hAnsiTheme="minorHAnsi" w:cstheme="minorHAnsi"/>
          <w:lang w:eastAsia="fr-FR"/>
        </w:rPr>
      </w:r>
    </w:p>
    <w:p>
      <w:pPr>
        <w:widowControl w:val="true"/>
        <w:numPr>
          <w:ilvl w:val="0"/>
          <w:numId w:val="1"/>
        </w:numPr>
        <w:pBdr/>
        <w:spacing w:after="100" w:afterAutospacing="1" w:before="100" w:beforeAutospacing="1"/>
        <w:ind/>
        <w:rPr>
          <w:rFonts w:eastAsia="Times New Roman" w:asciiTheme="minorHAnsi" w:hAnsiTheme="minorHAnsi" w:cstheme="minorHAnsi"/>
          <w:lang w:eastAsia="fr-FR"/>
        </w:rPr>
      </w:pPr>
      <w:r>
        <w:rPr>
          <w:rFonts w:eastAsia="Times New Roman" w:asciiTheme="minorHAnsi" w:hAnsiTheme="minorHAnsi" w:cstheme="minorHAnsi"/>
          <w:lang w:eastAsia="fr-FR"/>
        </w:rPr>
        <w:t xml:space="preserve">Institut d'histoire du temps présent (IHTP, UMR 8244)</w:t>
      </w:r>
      <w:r>
        <w:rPr>
          <w:rFonts w:eastAsia="Times New Roman" w:asciiTheme="minorHAnsi" w:hAnsiTheme="minorHAnsi" w:cstheme="minorHAnsi"/>
          <w:lang w:eastAsia="fr-FR"/>
        </w:rPr>
      </w:r>
    </w:p>
    <w:p>
      <w:pPr>
        <w:widowControl w:val="true"/>
        <w:numPr>
          <w:ilvl w:val="0"/>
          <w:numId w:val="1"/>
        </w:numPr>
        <w:pBdr/>
        <w:spacing w:after="100" w:afterAutospacing="1" w:before="100" w:beforeAutospacing="1"/>
        <w:ind/>
        <w:rPr>
          <w:rFonts w:eastAsia="Times New Roman" w:asciiTheme="minorHAnsi" w:hAnsiTheme="minorHAnsi" w:cstheme="minorHAnsi"/>
          <w:lang w:eastAsia="fr-FR"/>
        </w:rPr>
      </w:pPr>
      <w:r>
        <w:rPr>
          <w:rFonts w:eastAsia="Times New Roman" w:asciiTheme="minorHAnsi" w:hAnsiTheme="minorHAnsi" w:cstheme="minorHAnsi"/>
          <w:lang w:eastAsia="fr-FR"/>
        </w:rPr>
        <w:t xml:space="preserve">Laboratoire d'ethnologie et de sociologie comparative (LESC, UMR 7186)</w:t>
      </w:r>
      <w:r>
        <w:rPr>
          <w:rFonts w:eastAsia="Times New Roman" w:asciiTheme="minorHAnsi" w:hAnsiTheme="minorHAnsi" w:cstheme="minorHAnsi"/>
          <w:lang w:eastAsia="fr-FR"/>
        </w:rPr>
      </w:r>
    </w:p>
    <w:p>
      <w:pPr>
        <w:widowControl w:val="true"/>
        <w:numPr>
          <w:ilvl w:val="0"/>
          <w:numId w:val="1"/>
        </w:numPr>
        <w:pBdr/>
        <w:spacing w:after="100" w:afterAutospacing="1" w:before="100" w:beforeAutospacing="1"/>
        <w:ind/>
        <w:rPr>
          <w:rFonts w:eastAsia="Times New Roman" w:asciiTheme="minorHAnsi" w:hAnsiTheme="minorHAnsi" w:cstheme="minorHAnsi"/>
          <w:lang w:eastAsia="fr-FR"/>
        </w:rPr>
      </w:pPr>
      <w:r>
        <w:rPr>
          <w:rFonts w:eastAsia="Times New Roman" w:asciiTheme="minorHAnsi" w:hAnsiTheme="minorHAnsi" w:cstheme="minorHAnsi"/>
          <w:lang w:eastAsia="fr-FR"/>
        </w:rPr>
        <w:t xml:space="preserve">EA 3932 Laboratoire de sociologie, philosophie, et anthropologie politiques (</w:t>
      </w:r>
      <w:r>
        <w:rPr>
          <w:rFonts w:eastAsia="Times New Roman" w:asciiTheme="minorHAnsi" w:hAnsiTheme="minorHAnsi" w:cstheme="minorHAnsi"/>
          <w:lang w:eastAsia="fr-FR"/>
        </w:rPr>
        <w:t xml:space="preserve">Sophiapol</w:t>
      </w:r>
      <w:r>
        <w:rPr>
          <w:rFonts w:eastAsia="Times New Roman" w:asciiTheme="minorHAnsi" w:hAnsiTheme="minorHAnsi" w:cstheme="minorHAnsi"/>
          <w:lang w:eastAsia="fr-FR"/>
        </w:rPr>
        <w:t xml:space="preserve">) </w:t>
      </w:r>
      <w:r>
        <w:rPr>
          <w:rFonts w:eastAsia="Times New Roman" w:asciiTheme="minorHAnsi" w:hAnsiTheme="minorHAnsi" w:cstheme="minorHAnsi"/>
          <w:lang w:eastAsia="fr-FR"/>
        </w:rPr>
      </w:r>
    </w:p>
    <w:p>
      <w:pPr>
        <w:widowControl w:val="true"/>
        <w:numPr>
          <w:ilvl w:val="0"/>
          <w:numId w:val="1"/>
        </w:numPr>
        <w:pBdr/>
        <w:spacing w:after="100" w:afterAutospacing="1" w:before="100" w:beforeAutospacing="1"/>
        <w:ind/>
        <w:rPr>
          <w:rFonts w:eastAsia="Times New Roman" w:asciiTheme="minorHAnsi" w:hAnsiTheme="minorHAnsi" w:cstheme="minorHAnsi"/>
          <w:lang w:eastAsia="fr-FR"/>
        </w:rPr>
      </w:pPr>
      <w:r>
        <w:rPr>
          <w:rFonts w:eastAsia="Times New Roman" w:asciiTheme="minorHAnsi" w:hAnsiTheme="minorHAnsi" w:cstheme="minorHAnsi"/>
          <w:lang w:eastAsia="fr-FR"/>
        </w:rPr>
        <w:t xml:space="preserve">Laboratoire Architecture Ville Urbanisme Environnement (LAVUE, UMR 7218)</w:t>
      </w:r>
      <w:r>
        <w:rPr>
          <w:rFonts w:eastAsia="Times New Roman" w:asciiTheme="minorHAnsi" w:hAnsiTheme="minorHAnsi" w:cstheme="minorHAnsi"/>
          <w:lang w:eastAsia="fr-FR"/>
        </w:rPr>
      </w:r>
    </w:p>
    <w:p>
      <w:pPr>
        <w:pBdr/>
        <w:tabs>
          <w:tab w:val="left" w:leader="none" w:pos="720"/>
        </w:tabs>
        <w:spacing w:after="120"/>
        <w:ind/>
        <w:rPr>
          <w:rFonts w:ascii="Circular Pro Book" w:hAnsi="Circular Pro Book" w:eastAsia="TimesNewRomanPSMT" w:cs="Circular Pro Book"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Nom et prénom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du/de la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: </w:t>
      </w:r>
      <w:r>
        <w:rPr>
          <w:rFonts w:ascii="Circular Pro Book" w:hAnsi="Circular Pro Book" w:eastAsia="TimesNewRomanPSMT" w:cs="Circular Pro Book"/>
          <w:color w:val="00a282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Adresse :  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Code postal :</w:t>
      </w:r>
      <w:r>
        <w:rPr>
          <w:rFonts w:eastAsia="TimesNewRomanPSMT" w:asciiTheme="minorHAnsi" w:hAnsiTheme="minorHAnsi" w:cstheme="minorHAnsi"/>
          <w:color w:val="000000"/>
        </w:rPr>
        <w:tab/>
        <w:t xml:space="preserve">Ville : </w:t>
      </w:r>
      <w:r>
        <w:rPr>
          <w:rFonts w:eastAsia="TimesNewRomanPSMT" w:asciiTheme="minorHAnsi" w:hAnsiTheme="minorHAnsi" w:cstheme="minorHAnsi"/>
          <w:color w:val="000000"/>
        </w:rPr>
        <w:tab/>
        <w:t xml:space="preserve">Pays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Courriel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Tél :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  <w:t xml:space="preserve">Documents à intégrer dans le présent formulaire :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</w:p>
    <w:p>
      <w:pPr>
        <w:pStyle w:val="693"/>
        <w:pBdr/>
        <w:tabs>
          <w:tab w:val="left" w:leader="none" w:pos="720"/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CV du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/de la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(3 pages maximum)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Style w:val="693"/>
        <w:pBdr/>
        <w:tabs>
          <w:tab w:val="left" w:leader="none" w:pos="720"/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Projet de recherche personnel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du/de la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(3 pages maximum + 2 pages maximum de bibliographie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)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</w:p>
    <w:p>
      <w:pPr>
        <w:pStyle w:val="693"/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ascii="Circular Pro Book" w:hAnsi="Circular Pro Book" w:eastAsia="TimesNewRomanPSMT" w:cs="Circular Pro Book"/>
          <w:b/>
          <w:i/>
          <w:color w:val="00a282"/>
        </w:rPr>
      </w:pP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Positionnement du projet de recherche par rapport aux axes de recherche de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l’EUR 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ArTeC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(1000 signes maximum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— il est possible de rédiger ce texte directement dans le corps du formulaire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)</w:t>
      </w:r>
      <w:r>
        <w:rPr>
          <w:rFonts w:ascii="Circular Pro Book" w:hAnsi="Circular Pro Book" w:eastAsia="TimesNewRomanPSMT" w:cs="Circular Pro Book"/>
          <w:b/>
          <w:i/>
          <w:color w:val="00a282"/>
        </w:rPr>
      </w:r>
    </w:p>
    <w:p>
      <w:pPr>
        <w:pStyle w:val="693"/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ascii="Circular Pro Book" w:hAnsi="Circular Pro Book" w:eastAsia="TimesNewRomanPSMT" w:cs="Circular Pro Book"/>
          <w:color w:val="00a282"/>
        </w:rPr>
      </w:pPr>
      <w:r>
        <w:rPr>
          <w:rFonts w:ascii="Circular Pro Book" w:hAnsi="Circular Pro Book" w:eastAsia="TimesNewRomanPSMT" w:cs="Circular Pro Book"/>
          <w:color w:val="00a282"/>
        </w:rPr>
      </w:r>
      <w:r>
        <w:rPr>
          <w:rFonts w:ascii="Circular Pro Book" w:hAnsi="Circular Pro Book" w:eastAsia="TimesNewRomanPSMT" w:cs="Circular Pro Book"/>
          <w:color w:val="00a282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Le sujet et la méthodolog</w:t>
      </w:r>
      <w:r>
        <w:rPr>
          <w:rFonts w:eastAsia="TimesNewRomanPSMT" w:asciiTheme="minorHAnsi" w:hAnsiTheme="minorHAnsi" w:cstheme="minorHAnsi"/>
          <w:color w:val="000000"/>
        </w:rPr>
        <w:t xml:space="preserve">ie devront s’inscrire dans </w:t>
      </w:r>
      <w:r>
        <w:rPr>
          <w:rFonts w:eastAsia="TimesNewRomanPSMT" w:asciiTheme="minorHAnsi" w:hAnsiTheme="minorHAnsi" w:cstheme="minorHAnsi"/>
          <w:color w:val="000000"/>
        </w:rPr>
        <w:t xml:space="preserve">au moins</w:t>
      </w:r>
      <w:r>
        <w:rPr>
          <w:rFonts w:eastAsia="TimesNewRomanPSMT" w:asciiTheme="minorHAnsi" w:hAnsiTheme="minorHAnsi" w:cstheme="minorHAnsi"/>
          <w:color w:val="000000"/>
        </w:rPr>
        <w:t xml:space="preserve"> un</w:t>
      </w:r>
      <w:r>
        <w:rPr>
          <w:rFonts w:eastAsia="TimesNewRomanPSMT" w:asciiTheme="minorHAnsi" w:hAnsiTheme="minorHAnsi" w:cstheme="minorHAnsi"/>
          <w:color w:val="000000"/>
        </w:rPr>
        <w:t xml:space="preserve"> des trois grands axes de l'EUR </w:t>
      </w:r>
      <w:r>
        <w:rPr>
          <w:rFonts w:eastAsia="TimesNewRomanPSMT" w:asciiTheme="minorHAnsi" w:hAnsiTheme="minorHAnsi" w:cstheme="minorHAnsi"/>
          <w:color w:val="000000"/>
        </w:rPr>
        <w:t xml:space="preserve">ArTeC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1. La création comme activité de recherche</w:t>
      </w:r>
      <w:r>
        <w:rPr>
          <w:rFonts w:eastAsia="TimesNewRomanPS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2. Nouveaux modes d’écriture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s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 et de publication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s</w:t>
      </w:r>
      <w:r>
        <w:rPr>
          <w:rFonts w:eastAsia="TimesNewRomanPS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3. Technologies et médiations humaines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Ces trois axes pourront </w:t>
      </w:r>
      <w:r>
        <w:rPr>
          <w:rFonts w:eastAsia="TimesNewRomanPSMT" w:asciiTheme="minorHAnsi" w:hAnsiTheme="minorHAnsi" w:cstheme="minorHAnsi"/>
          <w:color w:val="000000"/>
        </w:rPr>
        <w:t xml:space="preserve">int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ragir</w:t>
      </w:r>
      <w:r>
        <w:rPr>
          <w:rFonts w:eastAsia="TimesNewRomanPSMT" w:asciiTheme="minorHAnsi" w:hAnsiTheme="minorHAnsi" w:cstheme="minorHAnsi"/>
          <w:color w:val="000000"/>
        </w:rPr>
        <w:t xml:space="preserve"> avec les champs d'activités de recherche et d'expérimentation suivants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Expositions et performances comme outils et dispositifs de médiation 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œuvres comme publication scientifique 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Nouvelles formes d’écriture, nouveaux langages et culture du code 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L’héritage de la cybernétique, l’éthique du futur et l’âge du post-numérique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Approches artistiques de la critique sociale, de l’éthique et de l’écologie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</w:t>
      </w:r>
      <w:r>
        <w:rPr>
          <w:rFonts w:asciiTheme="minorHAnsi" w:hAnsiTheme="minorHAnsi" w:cstheme="minorHAnsi"/>
        </w:rPr>
        <w:t xml:space="preserve">réservation et conservation </w:t>
      </w:r>
      <w:r>
        <w:rPr>
          <w:rFonts w:asciiTheme="minorHAnsi" w:hAnsiTheme="minorHAnsi" w:cstheme="minorHAnsi"/>
        </w:rPr>
        <w:t xml:space="preserve">à l’ère </w:t>
      </w:r>
      <w:r>
        <w:rPr>
          <w:rFonts w:asciiTheme="minorHAnsi" w:hAnsiTheme="minorHAnsi" w:cstheme="minorHAnsi"/>
        </w:rPr>
        <w:t xml:space="preserve">du </w:t>
      </w:r>
      <w:r>
        <w:rPr>
          <w:rFonts w:asciiTheme="minorHAnsi" w:hAnsiTheme="minorHAnsi" w:cstheme="minorHAnsi"/>
        </w:rPr>
        <w:t xml:space="preserve">numérique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Approches créatives de la traduction </w:t>
      </w:r>
      <w:r>
        <w:rPr>
          <w:rFonts w:asciiTheme="minorHAnsi" w:hAnsiTheme="minorHAnsi" w:cstheme="minorHAnsi"/>
        </w:rPr>
        <w:t xml:space="preserve">–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activité créative </w:t>
      </w:r>
      <w:r>
        <w:rPr>
          <w:rFonts w:asciiTheme="minorHAnsi" w:hAnsiTheme="minorHAnsi" w:cstheme="minorHAnsi"/>
        </w:rPr>
        <w:t xml:space="preserve">et cognition 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médiation par la robotique et l’intelligence</w:t>
      </w:r>
      <w:r>
        <w:rPr>
          <w:rFonts w:asciiTheme="minorHAnsi" w:hAnsiTheme="minorHAnsi" w:cstheme="minorHAnsi"/>
        </w:rPr>
        <w:t xml:space="preserve"> artificielle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nouveaux dispositifs éducatifs et scientifiques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 et genre 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Scien</w:t>
      </w:r>
      <w:r>
        <w:rPr>
          <w:rFonts w:asciiTheme="minorHAnsi" w:hAnsiTheme="minorHAnsi" w:cstheme="minorHAnsi"/>
        </w:rPr>
        <w:t xml:space="preserve">ces de l’ingénierie et création</w:t>
      </w:r>
      <w:r>
        <w:rPr>
          <w:rFonts w:asciiTheme="minorHAnsi" w:hAnsiTheme="minorHAnsi" w:cstheme="minorHAnsi"/>
        </w:rPr>
      </w:r>
    </w:p>
    <w:p>
      <w:pPr>
        <w:pStyle w:val="688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Arts, sciences, technologies</w:t>
      </w:r>
      <w:r>
        <w:rPr>
          <w:rFonts w:asciiTheme="minorHAnsi" w:hAnsiTheme="minorHAnsi" w:cstheme="minorHAnsi"/>
        </w:rPr>
      </w:r>
    </w:p>
    <w:p>
      <w:pPr>
        <w:widowControl w:val="true"/>
        <w:pBdr/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  <w:br w:type="page" w:clear="all"/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Avis motivé du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/de la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tuteur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·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rice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sur le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/la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candidat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·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(1 page)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 w:left="720"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Université : 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Projet :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Laboratoire : </w:t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rice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Mentionner </w:t>
      </w:r>
      <w:r>
        <w:rPr>
          <w:rFonts w:eastAsia="TimesNewRomanPSMT" w:asciiTheme="minorHAnsi" w:hAnsiTheme="minorHAnsi" w:cstheme="minorHAnsi"/>
          <w:color w:val="000000"/>
        </w:rPr>
        <w:t xml:space="preserve">éventuellement </w:t>
      </w:r>
      <w:r>
        <w:rPr>
          <w:rFonts w:eastAsia="TimesNewRomanPSMT" w:asciiTheme="minorHAnsi" w:hAnsiTheme="minorHAnsi" w:cstheme="minorHAnsi"/>
          <w:color w:val="000000"/>
        </w:rPr>
        <w:t xml:space="preserve">les t</w:t>
      </w:r>
      <w:r>
        <w:rPr>
          <w:rFonts w:eastAsia="TimesNewRomanPSMT" w:asciiTheme="minorHAnsi" w:hAnsiTheme="minorHAnsi" w:cstheme="minorHAnsi"/>
          <w:color w:val="000000"/>
        </w:rPr>
        <w:t xml:space="preserve">ravaux de recherche confiés au</w:t>
      </w:r>
      <w:r>
        <w:rPr>
          <w:rFonts w:eastAsia="TimesNewRomanPSMT" w:asciiTheme="minorHAnsi" w:hAnsiTheme="minorHAnsi" w:cstheme="minorHAnsi"/>
          <w:color w:val="000000"/>
        </w:rPr>
        <w:t xml:space="preserve">/à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post-doctorant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.</w:t>
      </w:r>
      <w:r>
        <w:rPr>
          <w:rFonts w:eastAsia="TimesNewRomanPSMT" w:asciiTheme="minorHAnsi" w:hAnsiTheme="minorHAnsi" w:cstheme="minorHAnsi"/>
          <w:color w:val="000000"/>
        </w:rPr>
        <w:t xml:space="preserve"> Rappeler brièvement le cadre général de la recherche et préciser les missions, les tâches, le planning, les résultat</w:t>
      </w:r>
      <w:r>
        <w:rPr>
          <w:rFonts w:eastAsia="TimesNewRomanPSMT" w:asciiTheme="minorHAnsi" w:hAnsiTheme="minorHAnsi" w:cstheme="minorHAnsi"/>
          <w:color w:val="000000"/>
        </w:rPr>
        <w:t xml:space="preserve">s attendus, les livrables etc., et la j</w:t>
      </w:r>
      <w:r>
        <w:rPr>
          <w:rFonts w:eastAsia="TimesNewRomanPSMT" w:asciiTheme="minorHAnsi" w:hAnsiTheme="minorHAnsi" w:cstheme="minorHAnsi"/>
          <w:color w:val="000000"/>
        </w:rPr>
        <w:t xml:space="preserve">ustification scientifique du be</w:t>
      </w:r>
      <w:r>
        <w:rPr>
          <w:rFonts w:eastAsia="TimesNewRomanPSMT" w:asciiTheme="minorHAnsi" w:hAnsiTheme="minorHAnsi" w:cstheme="minorHAnsi"/>
          <w:color w:val="000000"/>
        </w:rPr>
        <w:t xml:space="preserve">soin d’</w:t>
      </w:r>
      <w:r>
        <w:rPr>
          <w:rFonts w:eastAsia="TimesNewRomanPSMT" w:asciiTheme="minorHAnsi" w:hAnsiTheme="minorHAnsi" w:cstheme="minorHAnsi"/>
          <w:color w:val="000000"/>
        </w:rPr>
        <w:t xml:space="preserve">u</w:t>
      </w:r>
      <w:r>
        <w:rPr>
          <w:rFonts w:eastAsia="TimesNewRomanPSMT" w:asciiTheme="minorHAnsi" w:hAnsiTheme="minorHAnsi" w:cstheme="minorHAnsi"/>
          <w:color w:val="000000"/>
        </w:rPr>
        <w:t xml:space="preserve">n·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post-doctorant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dans </w:t>
      </w:r>
      <w:r>
        <w:rPr>
          <w:rFonts w:eastAsia="TimesNewRomanPSMT" w:asciiTheme="minorHAnsi" w:hAnsiTheme="minorHAnsi" w:cstheme="minorHAnsi"/>
          <w:color w:val="000000"/>
        </w:rPr>
        <w:t xml:space="preserve">l’</w:t>
      </w:r>
      <w:r>
        <w:rPr>
          <w:rFonts w:eastAsia="TimesNewRomanPSMT" w:asciiTheme="minorHAnsi" w:hAnsiTheme="minorHAnsi" w:cstheme="minorHAnsi"/>
          <w:color w:val="000000"/>
        </w:rPr>
        <w:t xml:space="preserve">un des projets du laboratoire.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Signature du</w:t>
      </w:r>
      <w:r>
        <w:rPr>
          <w:rFonts w:eastAsia="TimesNewRomanPSMT" w:asciiTheme="minorHAnsi" w:hAnsiTheme="minorHAnsi" w:cstheme="minorHAnsi"/>
          <w:color w:val="000000"/>
        </w:rPr>
        <w:t xml:space="preserve">/de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/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t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rice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 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  <w:tab/>
      </w:r>
      <w:r>
        <w:rPr>
          <w:rFonts w:eastAsia="TimesNewRomanPSMT" w:asciiTheme="minorHAnsi" w:hAnsiTheme="minorHAnsi" w:cstheme="minorHAnsi"/>
          <w:color w:val="000000"/>
        </w:rPr>
        <w:t xml:space="preserve">Signature du</w:t>
      </w:r>
      <w:r>
        <w:rPr>
          <w:rFonts w:eastAsia="TimesNewRomanPSMT" w:asciiTheme="minorHAnsi" w:hAnsiTheme="minorHAnsi" w:cstheme="minorHAnsi"/>
          <w:color w:val="000000"/>
        </w:rPr>
        <w:t xml:space="preserve">/de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candidat</w:t>
      </w:r>
      <w:r>
        <w:rPr>
          <w:rFonts w:eastAsia="TimesNewRomanPSMT" w:asciiTheme="minorHAnsi" w:hAnsiTheme="minorHAnsi" w:cstheme="minorHAnsi"/>
          <w:color w:val="000000"/>
        </w:rPr>
        <w:t xml:space="preserve">.e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 w:hanging="560" w:left="560"/>
        <w:jc w:val="center"/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</w:pPr>
      <w:r>
        <w:rPr>
          <w:rFonts w:eastAsia="TimesNewRomanPSMT" w:asciiTheme="minorHAnsi" w:hAnsiTheme="minorHAnsi" w:cstheme="minorHAnsi"/>
          <w:color w:val="000000"/>
        </w:rPr>
        <w:br w:type="page" w:clear="all"/>
      </w:r>
      <w:r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  <w:t xml:space="preserve">Modalités</w:t>
      </w:r>
      <w:r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 w:hanging="560" w:left="560"/>
        <w:jc w:val="center"/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pPr>
      <w:r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r>
      <w:r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Conditions de candidature : 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Ê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tre titulaire d’un doctorat, d’un PhD ou équivalent au moment du dépôt du dossier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Inscrire le projet postdoctora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l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au sein d’une des é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quipes d’accueil de l’EUR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ArTeC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4"/>
        </w:numPr>
        <w:pBdr/>
        <w:tabs>
          <w:tab w:val="left" w:leader="none" w:pos="720"/>
        </w:tabs>
        <w:spacing/>
        <w:ind w:hanging="1058" w:left="1418"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Avoir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soutenu sa thèse après le 1</w:t>
      </w:r>
      <w:r>
        <w:rPr>
          <w:rFonts w:eastAsia="TimesNewRomanPS-BoldMT" w:cs="TimesNewRomanPS-BoldMT" w:asciiTheme="minorHAnsi" w:hAnsiTheme="minorHAnsi"/>
          <w:bCs/>
          <w:color w:val="000000"/>
          <w:vertAlign w:val="superscript"/>
        </w:rPr>
        <w:t xml:space="preserve">er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septembre 20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20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720"/>
        </w:tabs>
        <w:spacing/>
        <w:ind w:left="720"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720"/>
        </w:tabs>
        <w:spacing/>
        <w:ind w:left="720"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NB : Il n’y a pas de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limite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d’âge pour candidater.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Constitution du dossier de candidature :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numPr>
          <w:ilvl w:val="0"/>
          <w:numId w:val="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Le formulaire de candidature, dûment rempli et signé par le</w:t>
      </w:r>
      <w:r>
        <w:rPr>
          <w:rFonts w:eastAsia="TimesNewRomanPS-BoldMT" w:cs="TimesNewRomanPS-BoldMT" w:asciiTheme="minorHAnsi" w:hAnsiTheme="minorHAnsi"/>
          <w:color w:val="000000"/>
        </w:rPr>
        <w:t xml:space="preserve">/la</w:t>
      </w:r>
      <w:r>
        <w:rPr>
          <w:rFonts w:eastAsia="TimesNewRomanPS-BoldMT" w:cs="TimesNewRomanPS-BoldMT" w:asciiTheme="minorHAnsi" w:hAnsiTheme="minorHAnsi"/>
          <w:color w:val="000000"/>
        </w:rPr>
        <w:t xml:space="preserve"> </w:t>
      </w:r>
      <w:r>
        <w:rPr>
          <w:rFonts w:eastAsia="TimesNewRomanPS-BoldMT" w:cs="TimesNewRomanPS-BoldMT" w:asciiTheme="minorHAnsi" w:hAnsiTheme="minorHAnsi"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color w:val="000000"/>
        </w:rPr>
        <w:t xml:space="preserve">·</w:t>
      </w:r>
      <w:r>
        <w:rPr>
          <w:rFonts w:eastAsia="TimesNewRomanPS-BoldMT" w:cs="TimesNewRomanPS-BoldMT" w:asciiTheme="minorHAnsi" w:hAnsiTheme="minorHAnsi"/>
          <w:color w:val="000000"/>
        </w:rPr>
        <w:t xml:space="preserve">e</w:t>
      </w:r>
      <w:r>
        <w:rPr>
          <w:rFonts w:eastAsia="TimesNewRomanPS-BoldMT" w:cs="TimesNewRomanPS-BoldMT" w:asciiTheme="minorHAnsi" w:hAnsiTheme="minorHAnsi"/>
          <w:color w:val="000000"/>
        </w:rPr>
        <w:t xml:space="preserve"> et par le </w:t>
      </w:r>
      <w:r>
        <w:rPr>
          <w:rFonts w:eastAsia="TimesNewRomanPS-BoldMT" w:cs="TimesNewRomanPS-BoldMT" w:asciiTheme="minorHAnsi" w:hAnsiTheme="minorHAnsi"/>
          <w:color w:val="000000"/>
        </w:rPr>
        <w:t xml:space="preserve">tuteur</w:t>
      </w:r>
      <w:r>
        <w:rPr>
          <w:rFonts w:eastAsia="TimesNewRomanPS-BoldMT" w:cs="TimesNewRomanPS-BoldMT" w:asciiTheme="minorHAnsi" w:hAnsiTheme="minorHAnsi"/>
          <w:color w:val="000000"/>
        </w:rPr>
        <w:t xml:space="preserve">/</w:t>
      </w:r>
      <w:r>
        <w:rPr>
          <w:rFonts w:eastAsia="TimesNewRomanPS-BoldMT" w:cs="TimesNewRomanPS-BoldMT" w:asciiTheme="minorHAnsi" w:hAnsiTheme="minorHAnsi"/>
          <w:color w:val="000000"/>
        </w:rPr>
        <w:t xml:space="preserve">trice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numPr>
          <w:ilvl w:val="0"/>
          <w:numId w:val="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Une lettre de candidature et de motivation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numPr>
          <w:ilvl w:val="0"/>
          <w:numId w:val="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Un projet de recherche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 (</w:t>
      </w:r>
      <w:r>
        <w:rPr>
          <w:rFonts w:eastAsia="TimesNewRomanPS-BoldMT" w:cs="TimesNewRomanPS-BoldMT" w:asciiTheme="minorHAnsi" w:hAnsiTheme="minorHAnsi"/>
          <w:bCs/>
          <w:i/>
          <w:iCs/>
          <w:color w:val="000000"/>
        </w:rPr>
        <w:t xml:space="preserve">3 pages maximum + 2 pages maximum de bibliographie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)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numPr>
          <w:ilvl w:val="0"/>
          <w:numId w:val="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Rapport de thèse (ou équivalent si doctorat étranger)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numPr>
          <w:ilvl w:val="0"/>
          <w:numId w:val="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Tout document (publications, etc.) qualifiant la candidature</w:t>
      </w:r>
      <w:r>
        <w:rPr>
          <w:rFonts w:eastAsia="TimesNewRomanPS-BoldMT" w:cs="TimesNewRomanPS-BoldMT" w:asciiTheme="minorHAnsi" w:hAnsiTheme="minorHAnsi"/>
          <w:color w:val="000000"/>
        </w:rPr>
        <w:t xml:space="preserve">.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Critères d’évaluation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 des projets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 :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Originalité, importance et qualité du projet scientifique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Excellence du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/de la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·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Adéqu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ation aux priorités d’ArTeC et de ses équipes affiliées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  <w:t xml:space="preserve">I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ntérêt et qualité du ou des livrables et des actions proposées dans le cadre d'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ArTeC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.</w:t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  <w:u w:val="single"/>
        </w:rPr>
      </w:pPr>
      <w:r>
        <w:rPr>
          <w:rFonts w:eastAsia="TimesNewRomanPSMT" w:cs="TimesNewRomanPSMT" w:asciiTheme="minorHAnsi" w:hAnsiTheme="minorHAnsi"/>
          <w:color w:val="000000"/>
          <w:u w:val="single"/>
        </w:rPr>
        <w:t xml:space="preserve">Calendrier du concours :</w:t>
      </w:r>
      <w:r>
        <w:rPr>
          <w:rFonts w:eastAsia="TimesNewRomanPSMT" w:cs="TimesNewRomanPSMT" w:asciiTheme="minorHAnsi" w:hAnsiTheme="minorHAnsi"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7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Publicati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on de l’offre 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: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19 décembre 2024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7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Date limite pour transmettre sa candidature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: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27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février</w:t>
      </w:r>
      <w:r>
        <w:rPr>
          <w:rFonts w:eastAsia="TimesNewRomanPS-BoldMT" w:cs="TimesNewRomanPS-BoldMT" w:asciiTheme="minorHAnsi" w:hAnsiTheme="minorHAnsi"/>
          <w:bCs/>
        </w:rPr>
        <w:t xml:space="preserve"> 202</w:t>
      </w:r>
      <w:r>
        <w:rPr>
          <w:rFonts w:eastAsia="TimesNewRomanPS-BoldMT" w:cs="TimesNewRomanPS-BoldMT" w:asciiTheme="minorHAnsi" w:hAnsiTheme="minorHAnsi"/>
          <w:bCs/>
        </w:rPr>
        <w:t xml:space="preserve">5</w:t>
      </w:r>
      <w:r>
        <w:rPr>
          <w:rFonts w:eastAsia="TimesNewRomanPS-BoldMT" w:cs="TimesNewRomanPS-BoldMT" w:asciiTheme="minorHAnsi" w:hAnsiTheme="minorHAnsi"/>
          <w:bCs/>
        </w:rPr>
        <w:t xml:space="preserve"> à 8 heures du matin (GMT +1), </w:t>
      </w:r>
      <w:r>
        <w:rPr>
          <w:rFonts w:eastAsia="TimesNewRomanPS-BoldMT" w:cs="TimesNewRomanPS-BoldMT" w:asciiTheme="minorHAnsi" w:hAnsiTheme="minorHAnsi"/>
          <w:bCs/>
        </w:rPr>
        <w:t xml:space="preserve">en déposant son dossier</w:t>
      </w:r>
      <w:r>
        <w:rPr>
          <w:rFonts w:eastAsia="TimesNewRomanPS-BoldMT" w:cs="TimesNewRomanPS-BoldMT" w:asciiTheme="minorHAnsi" w:hAnsiTheme="minorHAnsi"/>
          <w:bCs/>
        </w:rPr>
        <w:t xml:space="preserve"> au moyen du lien dédié :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</w:t>
      </w:r>
      <w:hyperlink r:id="rId11" w:tooltip="https://kdrive.eur-artec.fr/app/collaborate/1045789/53fdfbc3-fb97-44be-bfca-a7c97ddfb41e" w:history="1">
        <w:r>
          <w:rPr>
            <w:rStyle w:val="686"/>
            <w:rFonts w:eastAsia="TimesNewRomanPS-BoldMT" w:cs="TimesNewRomanPS-BoldMT" w:asciiTheme="minorHAnsi" w:hAnsiTheme="minorHAnsi"/>
            <w:b/>
          </w:rPr>
          <w:t xml:space="preserve">Boîte de dépôt</w:t>
        </w:r>
        <w:r>
          <w:rPr>
            <w:rStyle w:val="686"/>
            <w:rFonts w:eastAsia="TimesNewRomanPS-BoldMT" w:cs="TimesNewRomanPS-BoldMT" w:asciiTheme="minorHAnsi" w:hAnsiTheme="minorHAnsi"/>
            <w:b/>
          </w:rPr>
          <w:t xml:space="preserve"> </w:t>
        </w:r>
        <w:r>
          <w:rPr>
            <w:rStyle w:val="686"/>
            <w:rFonts w:eastAsia="TimesNewRomanPS-BoldMT" w:cs="TimesNewRomanPS-BoldMT" w:asciiTheme="minorHAnsi" w:hAnsiTheme="minorHAnsi"/>
            <w:b/>
          </w:rPr>
          <w:t xml:space="preserve">| Postdoctorat</w:t>
        </w:r>
      </w:hyperlink>
      <w:r>
        <w:rPr>
          <w:rFonts w:eastAsia="TimesNewRomanPS-BoldMT" w:cs="TimesNewRomanPS-BoldMT" w:asciiTheme="minorHAnsi" w:hAnsiTheme="minorHAnsi"/>
          <w:b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7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Instruction des dossiers et présélection des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·es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admissibles :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1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3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mars 202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5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numPr>
          <w:ilvl w:val="0"/>
          <w:numId w:val="7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  <w:t xml:space="preserve">Entretiens</w:t>
      </w:r>
      <w:r>
        <w:rPr>
          <w:rFonts w:eastAsia="TimesNewRomanPS-BoldMT" w:cs="TimesNewRomanPS-BoldMT" w:asciiTheme="minorHAnsi" w:hAnsiTheme="minorHAnsi"/>
          <w:bCs/>
        </w:rPr>
        <w:t xml:space="preserve"> </w:t>
      </w:r>
      <w:r>
        <w:rPr>
          <w:rFonts w:eastAsia="TimesNewRomanPS-BoldMT" w:cs="TimesNewRomanPS-BoldMT" w:asciiTheme="minorHAnsi" w:hAnsiTheme="minorHAnsi"/>
          <w:bCs/>
        </w:rPr>
        <w:t xml:space="preserve">avec </w:t>
      </w:r>
      <w:r>
        <w:rPr>
          <w:rFonts w:eastAsia="TimesNewRomanPS-BoldMT" w:cs="TimesNewRomanPS-BoldMT" w:asciiTheme="minorHAnsi" w:hAnsiTheme="minorHAnsi"/>
          <w:bCs/>
        </w:rPr>
        <w:t xml:space="preserve">les </w:t>
      </w:r>
      <w:r>
        <w:rPr>
          <w:rFonts w:eastAsia="TimesNewRomanPS-BoldMT" w:cs="TimesNewRomanPS-BoldMT" w:asciiTheme="minorHAnsi" w:hAnsiTheme="minorHAnsi"/>
          <w:bCs/>
        </w:rPr>
        <w:t xml:space="preserve">candidat</w:t>
      </w:r>
      <w:r>
        <w:rPr>
          <w:rFonts w:eastAsia="TimesNewRomanPS-BoldMT" w:cs="TimesNewRomanPS-BoldMT" w:asciiTheme="minorHAnsi" w:hAnsiTheme="minorHAnsi"/>
          <w:bCs/>
        </w:rPr>
        <w:t xml:space="preserve">·es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présélectionné·es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: </w:t>
      </w:r>
      <w:r>
        <w:rPr>
          <w:rFonts w:eastAsia="TimesNewRomanPS-BoldMT" w:cs="TimesNewRomanPS-BoldMT" w:asciiTheme="minorHAnsi" w:hAnsiTheme="minorHAnsi"/>
          <w:bCs/>
        </w:rPr>
        <w:t xml:space="preserve">2</w:t>
      </w:r>
      <w:r>
        <w:rPr>
          <w:rFonts w:eastAsia="TimesNewRomanPS-BoldMT" w:cs="TimesNewRomanPS-BoldMT" w:asciiTheme="minorHAnsi" w:hAnsiTheme="minorHAnsi"/>
          <w:bCs/>
        </w:rPr>
        <w:t xml:space="preserve">7</w:t>
      </w:r>
      <w:r>
        <w:rPr>
          <w:rFonts w:eastAsia="TimesNewRomanPS-BoldMT" w:cs="TimesNewRomanPS-BoldMT" w:asciiTheme="minorHAnsi" w:hAnsiTheme="minorHAnsi"/>
          <w:bCs/>
        </w:rPr>
        <w:t xml:space="preserve"> mars </w:t>
      </w:r>
      <w:r>
        <w:rPr>
          <w:rFonts w:eastAsia="TimesNewRomanPS-BoldMT" w:cs="TimesNewRomanPS-BoldMT" w:asciiTheme="minorHAnsi" w:hAnsiTheme="minorHAnsi"/>
          <w:bCs/>
        </w:rPr>
        <w:t xml:space="preserve">202</w:t>
      </w:r>
      <w:r>
        <w:rPr>
          <w:rFonts w:eastAsia="TimesNewRomanPS-BoldMT" w:cs="TimesNewRomanPS-BoldMT" w:asciiTheme="minorHAnsi" w:hAnsiTheme="minorHAnsi"/>
          <w:bCs/>
        </w:rPr>
        <w:t xml:space="preserve">5</w:t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720"/>
        </w:tabs>
        <w:spacing/>
        <w:ind w:left="360"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720"/>
        </w:tabs>
        <w:spacing/>
        <w:ind w:left="360"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/>
          <w:bCs/>
          <w:color w:val="000000"/>
          <w:u w:val="single"/>
        </w:rPr>
        <w:t xml:space="preserve">Conditions contractuelles</w:t>
      </w:r>
      <w:r>
        <w:rPr>
          <w:rFonts w:eastAsia="TimesNewRomanPSMT" w:cs="TimesNewRomanPSMT" w:asciiTheme="minorHAnsi" w:hAnsiTheme="minorHAnsi"/>
          <w:b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2500</w:t>
      </w:r>
      <w:r>
        <w:rPr>
          <w:rFonts w:eastAsia="TimesNewRomanPSMT" w:cs="TimesNewRomanPSMT" w:asciiTheme="minorHAnsi" w:hAnsiTheme="minorHAnsi"/>
          <w:color w:val="000000"/>
        </w:rPr>
        <w:t xml:space="preserve">,00</w:t>
      </w:r>
      <w:r>
        <w:rPr>
          <w:rFonts w:eastAsia="TimesNewRomanPSMT" w:cs="TimesNewRomanPSMT" w:asciiTheme="minorHAnsi" w:hAnsiTheme="minorHAnsi"/>
          <w:color w:val="000000"/>
        </w:rPr>
        <w:t xml:space="preserve">€ brut</w:t>
      </w:r>
      <w:r>
        <w:rPr>
          <w:rFonts w:eastAsia="TimesNewRomanPSMT" w:cs="TimesNewRomanPSMT" w:asciiTheme="minorHAnsi" w:hAnsiTheme="minorHAnsi"/>
          <w:color w:val="000000"/>
        </w:rPr>
        <w:t xml:space="preserve">s</w:t>
      </w:r>
      <w:r>
        <w:rPr>
          <w:rFonts w:eastAsia="TimesNewRomanPSMT" w:cs="TimesNewRomanPSMT" w:asciiTheme="minorHAnsi" w:hAnsiTheme="minorHAnsi"/>
          <w:color w:val="000000"/>
        </w:rPr>
        <w:t xml:space="preserve"> mensuel</w:t>
      </w:r>
      <w:r>
        <w:rPr>
          <w:rFonts w:eastAsia="TimesNewRomanPSMT" w:cs="TimesNewRomanPSMT" w:asciiTheme="minorHAnsi" w:hAnsiTheme="minorHAnsi"/>
          <w:color w:val="000000"/>
        </w:rPr>
        <w:t xml:space="preserve">s</w:t>
      </w:r>
      <w:r>
        <w:rPr>
          <w:rFonts w:eastAsia="TimesNewRomanPSMT" w:cs="TimesNewRomanPSMT" w:asciiTheme="minorHAnsi" w:hAnsiTheme="minorHAnsi"/>
          <w:color w:val="000000"/>
        </w:rPr>
        <w:t xml:space="preserve">.</w:t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CDD d’un an.</w:t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Début du contrat : 1</w:t>
      </w:r>
      <w:r>
        <w:rPr>
          <w:rFonts w:eastAsia="TimesNewRomanPSMT" w:cs="TimesNewRomanPSMT" w:asciiTheme="minorHAnsi" w:hAnsiTheme="minorHAnsi"/>
          <w:color w:val="000000"/>
          <w:vertAlign w:val="superscript"/>
        </w:rPr>
        <w:t xml:space="preserve">er</w:t>
      </w:r>
      <w:r>
        <w:rPr>
          <w:rFonts w:eastAsia="TimesNewRomanPSMT" w:cs="TimesNewRomanPSMT" w:asciiTheme="minorHAnsi" w:hAnsiTheme="minorHAnsi"/>
          <w:color w:val="000000"/>
        </w:rPr>
        <w:t xml:space="preserve"> septembre 2025.</w:t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P</w:t>
      </w:r>
      <w:r>
        <w:rPr>
          <w:rFonts w:eastAsia="TimesNewRomanPSMT" w:cs="TimesNewRomanPSMT" w:asciiTheme="minorHAnsi" w:hAnsiTheme="minorHAnsi"/>
          <w:color w:val="000000"/>
        </w:rPr>
        <w:t xml:space="preserve">our tout renseignement</w:t>
      </w:r>
      <w:r>
        <w:rPr>
          <w:rFonts w:eastAsia="TimesNewRomanPSMT" w:cs="TimesNewRomanPSMT" w:asciiTheme="minorHAnsi" w:hAnsiTheme="minorHAnsi"/>
          <w:color w:val="000000"/>
        </w:rPr>
        <w:t xml:space="preserve"> : </w:t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spacing/>
        <w:ind/>
        <w:rPr>
          <w:rFonts w:cs="Arial" w:asciiTheme="minorHAnsi" w:hAnsiTheme="minorHAnsi"/>
          <w:bCs/>
          <w:color w:val="000000"/>
        </w:rPr>
      </w:pPr>
      <w:r>
        <w:rPr>
          <w:rFonts w:cs="Arial" w:asciiTheme="minorHAnsi" w:hAnsiTheme="minorHAnsi"/>
          <w:bCs/>
          <w:color w:val="000000"/>
        </w:rPr>
        <w:t xml:space="preserve">Justin </w:t>
      </w:r>
      <w:r>
        <w:rPr>
          <w:rFonts w:cs="Arial" w:asciiTheme="minorHAnsi" w:hAnsiTheme="minorHAnsi"/>
          <w:bCs/>
          <w:color w:val="000000"/>
        </w:rPr>
        <w:t xml:space="preserve">Jarico</w:t>
      </w:r>
      <w:r>
        <w:rPr>
          <w:rFonts w:cs="Arial" w:asciiTheme="minorHAnsi" w:hAnsiTheme="minorHAnsi"/>
          <w:bCs/>
          <w:color w:val="000000"/>
        </w:rPr>
        <w:t xml:space="preserve">t</w:t>
      </w:r>
      <w:r>
        <w:rPr>
          <w:rFonts w:cs="Arial" w:asciiTheme="minorHAnsi" w:hAnsiTheme="minorHAnsi"/>
          <w:bCs/>
          <w:color w:val="000000"/>
        </w:rPr>
        <w:t xml:space="preserve"> – Coordinateur général de l’EUR </w:t>
      </w:r>
      <w:r>
        <w:rPr>
          <w:rFonts w:cs="Arial" w:asciiTheme="minorHAnsi" w:hAnsiTheme="minorHAnsi"/>
          <w:bCs/>
          <w:color w:val="000000"/>
        </w:rPr>
        <w:t xml:space="preserve">ArTeC</w:t>
      </w:r>
      <w:r>
        <w:rPr>
          <w:rFonts w:cs="Arial" w:asciiTheme="minorHAnsi" w:hAnsiTheme="minorHAnsi"/>
          <w:bCs/>
          <w:color w:val="000000"/>
        </w:rPr>
        <w:br/>
      </w:r>
      <w:hyperlink r:id="rId12" w:tooltip="mailto:justin.jaricot@eur-artec.fr" w:history="1">
        <w:r>
          <w:rPr>
            <w:rStyle w:val="686"/>
            <w:rFonts w:cs="Arial" w:asciiTheme="minorHAnsi" w:hAnsiTheme="minorHAnsi"/>
            <w:bCs/>
          </w:rPr>
          <w:t xml:space="preserve">justin.jaricot@eur-artec.fr</w:t>
        </w:r>
      </w:hyperlink>
      <w:r/>
      <w:r>
        <w:rPr>
          <w:rFonts w:cs="Arial" w:asciiTheme="minorHAnsi" w:hAnsiTheme="minorHAnsi"/>
          <w:bCs/>
          <w:color w:val="000000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20B0604020202020204"/>
  </w:font>
  <w:font w:name="Times New Roman">
    <w:panose1 w:val="02020603050405020304"/>
  </w:font>
  <w:font w:name="TimesNewRomanPS-BoldMT">
    <w:panose1 w:val="02020603050405020304"/>
  </w:font>
  <w:font w:name="Garamond">
    <w:panose1 w:val="02020603050405020304"/>
  </w:font>
  <w:font w:name="TimesNewRomanPS-BoldItalicMT">
    <w:panose1 w:val="02020603050405020304"/>
  </w:font>
  <w:font w:name="TimesNewRomanPSMT">
    <w:panose1 w:val="02020603050405020304"/>
  </w:font>
  <w:font w:name="Circular Pro Book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"/>
      <w:numFmt w:val="bullet"/>
      <w:pPr>
        <w:pBdr/>
        <w:spacing/>
        <w:ind w:hanging="360" w:left="440"/>
      </w:pPr>
      <w:rPr>
        <w:rFonts w:hint="default" w:ascii="Wingdings" w:hAnsi="Wingdings" w:eastAsia="Arial Unicode MS" w:cs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0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ircular Pro Book" w:hAnsi="Circular Pro Book" w:eastAsia="TimesNewRomanPS-BoldItalicMT" w:cs="Circular Pro Book"/>
        <w:i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2"/>
    <w:next w:val="68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2"/>
    <w:next w:val="68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2"/>
    <w:next w:val="68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2"/>
    <w:next w:val="68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2"/>
    <w:next w:val="68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2"/>
    <w:next w:val="68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2"/>
    <w:next w:val="68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2"/>
    <w:next w:val="68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2"/>
    <w:next w:val="68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2"/>
    <w:next w:val="68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2"/>
    <w:next w:val="68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2"/>
    <w:next w:val="68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2"/>
    <w:next w:val="68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83"/>
    <w:link w:val="175"/>
    <w:uiPriority w:val="99"/>
    <w:pPr>
      <w:pBdr/>
      <w:spacing/>
      <w:ind/>
    </w:pPr>
  </w:style>
  <w:style w:type="paragraph" w:styleId="177">
    <w:name w:val="Footer"/>
    <w:basedOn w:val="68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83"/>
    <w:link w:val="177"/>
    <w:uiPriority w:val="99"/>
    <w:pPr>
      <w:pBdr/>
      <w:spacing/>
      <w:ind/>
    </w:pPr>
  </w:style>
  <w:style w:type="paragraph" w:styleId="179">
    <w:name w:val="Caption"/>
    <w:basedOn w:val="682"/>
    <w:next w:val="6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189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190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191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192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193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194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195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196">
    <w:name w:val="toc 9"/>
    <w:basedOn w:val="682"/>
    <w:next w:val="68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qFormat/>
    <w:pPr>
      <w:widowControl w:val="false"/>
      <w:pBdr/>
      <w:spacing/>
      <w:ind/>
    </w:pPr>
    <w:rPr>
      <w:rFonts w:eastAsia="Arial Unicode MS" w:cs="Arial Unicode MS"/>
      <w:sz w:val="24"/>
      <w:szCs w:val="24"/>
      <w:lang w:eastAsia="hi-IN" w:bidi="hi-IN"/>
    </w:rPr>
  </w:style>
  <w:style w:type="character" w:styleId="683" w:default="1">
    <w:name w:val="Default Paragraph Font"/>
    <w:uiPriority w:val="1"/>
    <w:semiHidden/>
    <w:unhideWhenUsed/>
    <w:pPr>
      <w:pBdr/>
      <w:spacing/>
      <w:ind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  <w:style w:type="character" w:styleId="686">
    <w:name w:val="Hyperlink"/>
    <w:pPr>
      <w:pBdr/>
      <w:spacing/>
      <w:ind/>
    </w:pPr>
    <w:rPr>
      <w:color w:val="000080"/>
      <w:u w:val="single"/>
    </w:rPr>
  </w:style>
  <w:style w:type="paragraph" w:styleId="687" w:customStyle="1">
    <w:name w:val="Titre1"/>
    <w:basedOn w:val="682"/>
    <w:next w:val="688"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688">
    <w:name w:val="Body Text"/>
    <w:basedOn w:val="682"/>
    <w:pPr>
      <w:pBdr/>
      <w:spacing w:after="120"/>
      <w:ind/>
    </w:pPr>
  </w:style>
  <w:style w:type="paragraph" w:styleId="689">
    <w:name w:val="List"/>
    <w:basedOn w:val="688"/>
    <w:pPr>
      <w:pBdr/>
      <w:spacing/>
      <w:ind/>
    </w:pPr>
  </w:style>
  <w:style w:type="paragraph" w:styleId="690" w:customStyle="1">
    <w:name w:val="Légende1"/>
    <w:basedOn w:val="682"/>
    <w:pPr>
      <w:suppressLineNumbers w:val="true"/>
      <w:pBdr/>
      <w:spacing w:after="120" w:before="120"/>
      <w:ind/>
    </w:pPr>
    <w:rPr>
      <w:i/>
      <w:iCs/>
    </w:rPr>
  </w:style>
  <w:style w:type="paragraph" w:styleId="691" w:customStyle="1">
    <w:name w:val="Index"/>
    <w:basedOn w:val="682"/>
    <w:pPr>
      <w:suppressLineNumbers w:val="true"/>
      <w:pBdr/>
      <w:spacing/>
      <w:ind/>
    </w:pPr>
  </w:style>
  <w:style w:type="paragraph" w:styleId="692" w:customStyle="1">
    <w:name w:val="Corps A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Calibri"/>
      <w:color w:val="000000"/>
      <w:sz w:val="22"/>
      <w:szCs w:val="22"/>
    </w:rPr>
  </w:style>
  <w:style w:type="paragraph" w:styleId="693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694">
    <w:name w:val="Unresolved Mention"/>
    <w:basedOn w:val="68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95">
    <w:name w:val="FollowedHyperlink"/>
    <w:basedOn w:val="6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kdrive.eur-artec.fr/app/collaborate/1045789/53fdfbc3-fb97-44be-bfca-a7c97ddfb41e" TargetMode="External"/><Relationship Id="rId12" Type="http://schemas.openxmlformats.org/officeDocument/2006/relationships/hyperlink" Target="mailto:justin.jaricot@eur-artec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F4481-1AFA-7042-8CFD-697C7539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univ_Paris8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Sèdes</dc:creator>
  <cp:keywords/>
  <cp:lastModifiedBy>Magali Godin</cp:lastModifiedBy>
  <cp:revision>10</cp:revision>
  <dcterms:created xsi:type="dcterms:W3CDTF">2021-07-02T12:30:00Z</dcterms:created>
  <dcterms:modified xsi:type="dcterms:W3CDTF">2024-12-18T08:33:16Z</dcterms:modified>
</cp:coreProperties>
</file>